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0" w:type="dxa"/>
        <w:tblCellSpacing w:w="0" w:type="dxa"/>
        <w:tblCellMar>
          <w:left w:w="0" w:type="dxa"/>
          <w:right w:w="0" w:type="dxa"/>
        </w:tblCellMar>
        <w:tblLook w:val="04A0"/>
      </w:tblPr>
      <w:tblGrid>
        <w:gridCol w:w="1872"/>
        <w:gridCol w:w="5616"/>
        <w:gridCol w:w="1872"/>
      </w:tblGrid>
      <w:tr w:rsidR="002867D2" w:rsidRPr="002867D2" w:rsidTr="002867D2">
        <w:trPr>
          <w:tblCellSpacing w:w="0" w:type="dxa"/>
        </w:trPr>
        <w:tc>
          <w:tcPr>
            <w:tcW w:w="1000" w:type="pct"/>
            <w:vAlign w:val="center"/>
            <w:hideMark/>
          </w:tcPr>
          <w:p w:rsidR="002867D2" w:rsidRPr="002867D2" w:rsidRDefault="002867D2" w:rsidP="002867D2">
            <w:pPr>
              <w:spacing w:after="0" w:line="240" w:lineRule="auto"/>
              <w:rPr>
                <w:rFonts w:ascii="Times New Roman" w:eastAsia="Times New Roman" w:hAnsi="Times New Roman" w:cs="Times New Roman"/>
                <w:sz w:val="24"/>
                <w:szCs w:val="24"/>
                <w:lang w:eastAsia="it-IT"/>
              </w:rPr>
            </w:pPr>
          </w:p>
        </w:tc>
        <w:tc>
          <w:tcPr>
            <w:tcW w:w="0" w:type="auto"/>
            <w:hideMark/>
          </w:tcPr>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333750" cy="266700"/>
                  <wp:effectExtent l="19050" t="0" r="0" b="0"/>
                  <wp:docPr id="1" name="Immagine 1" descr="http://www.parlamento.it/img/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amento.it/img/scr_parl.gif"/>
                          <pic:cNvPicPr>
                            <a:picLocks noChangeAspect="1" noChangeArrowheads="1"/>
                          </pic:cNvPicPr>
                        </pic:nvPicPr>
                        <pic:blipFill>
                          <a:blip r:embed="rId4"/>
                          <a:srcRect/>
                          <a:stretch>
                            <a:fillRect/>
                          </a:stretch>
                        </pic:blipFill>
                        <pic:spPr bwMode="auto">
                          <a:xfrm>
                            <a:off x="0" y="0"/>
                            <a:ext cx="3333750" cy="266700"/>
                          </a:xfrm>
                          <a:prstGeom prst="rect">
                            <a:avLst/>
                          </a:prstGeom>
                          <a:noFill/>
                          <a:ln w="9525">
                            <a:noFill/>
                            <a:miter lim="800000"/>
                            <a:headEnd/>
                            <a:tailEnd/>
                          </a:ln>
                        </pic:spPr>
                      </pic:pic>
                    </a:graphicData>
                  </a:graphic>
                </wp:inline>
              </w:drawing>
            </w:r>
          </w:p>
        </w:tc>
        <w:tc>
          <w:tcPr>
            <w:tcW w:w="1000" w:type="pct"/>
            <w:hideMark/>
          </w:tcPr>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i  delle leggi">
                    <a:hlinkClick xmlns:a="http://schemas.openxmlformats.org/drawingml/2006/main" r:id="rId5"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i  delle leggi">
                            <a:hlinkClick r:id="rId5" tgtFrame="&quot;_top&quot;"/>
                          </pic:cNvPr>
                          <pic:cNvPicPr>
                            <a:picLocks noChangeAspect="1" noChangeArrowheads="1"/>
                          </pic:cNvPicPr>
                        </pic:nvPicPr>
                        <pic:blipFill>
                          <a:blip r:embed="rId6"/>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2867D2">
              <w:rPr>
                <w:rFonts w:ascii="Times New Roman" w:eastAsia="Times New Roman" w:hAnsi="Times New Roman" w:cs="Times New Roman"/>
                <w:sz w:val="24"/>
                <w:szCs w:val="24"/>
                <w:lang w:eastAsia="it-IT"/>
              </w:rPr>
              <w:br/>
            </w:r>
            <w:hyperlink r:id="rId7" w:tgtFrame="_top" w:history="1">
              <w:r w:rsidRPr="002867D2">
                <w:rPr>
                  <w:rFonts w:ascii="Times New Roman" w:eastAsia="Times New Roman" w:hAnsi="Times New Roman" w:cs="Times New Roman"/>
                  <w:i/>
                  <w:iCs/>
                  <w:color w:val="0000FF"/>
                  <w:sz w:val="20"/>
                  <w:u w:val="single"/>
                  <w:lang w:eastAsia="it-IT"/>
                </w:rPr>
                <w:t xml:space="preserve">Indici delle leggi </w:t>
              </w:r>
            </w:hyperlink>
          </w:p>
        </w:tc>
      </w:tr>
    </w:tbl>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8925" cy="38100"/>
            <wp:effectExtent l="19050" t="0" r="9525" b="0"/>
            <wp:docPr id="3" name="Immagine 3" descr="http://www.parlamento.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amento.it/img/barrait.gif"/>
                    <pic:cNvPicPr>
                      <a:picLocks noChangeAspect="1" noChangeArrowheads="1"/>
                    </pic:cNvPicPr>
                  </pic:nvPicPr>
                  <pic:blipFill>
                    <a:blip r:embed="rId8"/>
                    <a:srcRect/>
                    <a:stretch>
                      <a:fillRect/>
                    </a:stretch>
                  </pic:blipFill>
                  <pic:spPr bwMode="auto">
                    <a:xfrm>
                      <a:off x="0" y="0"/>
                      <a:ext cx="6638925" cy="38100"/>
                    </a:xfrm>
                    <a:prstGeom prst="rect">
                      <a:avLst/>
                    </a:prstGeom>
                    <a:noFill/>
                    <a:ln w="9525">
                      <a:noFill/>
                      <a:miter lim="800000"/>
                      <a:headEnd/>
                      <a:tailEnd/>
                    </a:ln>
                  </pic:spPr>
                </pic:pic>
              </a:graphicData>
            </a:graphic>
          </wp:inline>
        </w:drawing>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7"/>
          <w:szCs w:val="27"/>
          <w:lang w:eastAsia="it-IT"/>
        </w:rPr>
      </w:pPr>
      <w:r w:rsidRPr="002867D2">
        <w:rPr>
          <w:rFonts w:ascii="Times New Roman" w:eastAsia="Times New Roman" w:hAnsi="Times New Roman" w:cs="Times New Roman"/>
          <w:sz w:val="27"/>
          <w:szCs w:val="27"/>
          <w:lang w:eastAsia="it-IT"/>
        </w:rPr>
        <w:t>Legge 8 marzo 2000, n. 53</w:t>
      </w:r>
    </w:p>
    <w:p w:rsidR="002867D2" w:rsidRPr="002867D2" w:rsidRDefault="002867D2" w:rsidP="002867D2">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2867D2">
        <w:rPr>
          <w:rFonts w:ascii="Times New Roman" w:eastAsia="Times New Roman" w:hAnsi="Times New Roman" w:cs="Times New Roman"/>
          <w:b/>
          <w:bCs/>
          <w:sz w:val="27"/>
          <w:szCs w:val="27"/>
          <w:lang w:eastAsia="it-IT"/>
        </w:rPr>
        <w:t>"Disposizioni per il sostegno della maternità e della paternità, per il diritto alla cura e alla formazione e per il coordinamento dei tempi delle città"</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 xml:space="preserve">pubblicata nella </w:t>
      </w:r>
      <w:r w:rsidRPr="002867D2">
        <w:rPr>
          <w:rFonts w:ascii="Times New Roman" w:eastAsia="Times New Roman" w:hAnsi="Times New Roman" w:cs="Times New Roman"/>
          <w:i/>
          <w:iCs/>
          <w:sz w:val="24"/>
          <w:szCs w:val="24"/>
          <w:lang w:eastAsia="it-IT"/>
        </w:rPr>
        <w:t>Gazzetta Ufficiale</w:t>
      </w:r>
      <w:r w:rsidRPr="002867D2">
        <w:rPr>
          <w:rFonts w:ascii="Times New Roman" w:eastAsia="Times New Roman" w:hAnsi="Times New Roman" w:cs="Times New Roman"/>
          <w:sz w:val="24"/>
          <w:szCs w:val="24"/>
          <w:lang w:eastAsia="it-IT"/>
        </w:rPr>
        <w:t xml:space="preserve"> n. 60 del 13 marzo 2000 </w:t>
      </w:r>
    </w:p>
    <w:p w:rsidR="002867D2" w:rsidRPr="002867D2" w:rsidRDefault="002867D2" w:rsidP="002867D2">
      <w:pPr>
        <w:spacing w:after="0"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Capo I</w:t>
      </w:r>
      <w:r w:rsidRPr="002867D2">
        <w:rPr>
          <w:rFonts w:ascii="Times New Roman" w:eastAsia="Times New Roman" w:hAnsi="Times New Roman" w:cs="Times New Roman"/>
          <w:sz w:val="24"/>
          <w:szCs w:val="24"/>
          <w:lang w:eastAsia="it-IT"/>
        </w:rPr>
        <w:br/>
        <w:t>PRINCIPI GENERALI</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1.</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(Finalità).</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La presente legge promuove un equilibrio tra tempi di lavoro, di cura, di formazione e di relazione, mediante: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a) </w:t>
      </w:r>
      <w:r w:rsidRPr="002867D2">
        <w:rPr>
          <w:rFonts w:ascii="Times New Roman" w:eastAsia="Times New Roman" w:hAnsi="Times New Roman" w:cs="Times New Roman"/>
          <w:sz w:val="24"/>
          <w:szCs w:val="24"/>
          <w:lang w:eastAsia="it-IT"/>
        </w:rPr>
        <w:t xml:space="preserve">l'istituzione dei congedi dei genitori e l'estensione del sostegno ai genitori di soggetti portatori di </w:t>
      </w:r>
      <w:r w:rsidRPr="002867D2">
        <w:rPr>
          <w:rFonts w:ascii="Times New Roman" w:eastAsia="Times New Roman" w:hAnsi="Times New Roman" w:cs="Times New Roman"/>
          <w:i/>
          <w:iCs/>
          <w:sz w:val="24"/>
          <w:szCs w:val="24"/>
          <w:lang w:eastAsia="it-IT"/>
        </w:rPr>
        <w:t>handicap</w:t>
      </w:r>
      <w:r w:rsidRPr="002867D2">
        <w:rPr>
          <w:rFonts w:ascii="Times New Roman" w:eastAsia="Times New Roman" w:hAnsi="Times New Roman" w:cs="Times New Roman"/>
          <w:sz w:val="24"/>
          <w:szCs w:val="24"/>
          <w:lang w:eastAsia="it-IT"/>
        </w:rPr>
        <w:t>;</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 xml:space="preserve">l'istituzione del congedo per la formazione continua e l'estensione dei congedi per la formazione; </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c) </w:t>
      </w:r>
      <w:r w:rsidRPr="002867D2">
        <w:rPr>
          <w:rFonts w:ascii="Times New Roman" w:eastAsia="Times New Roman" w:hAnsi="Times New Roman" w:cs="Times New Roman"/>
          <w:sz w:val="24"/>
          <w:szCs w:val="24"/>
          <w:lang w:eastAsia="it-IT"/>
        </w:rPr>
        <w:t>il coordinamento dei tempi di funzionamento delle città e la promozione dell'uso del tempo per fini di solidarietà sociale.</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2.</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(Campagne informative).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Al fine di diffondere la conoscenza delle disposizioni della presente legge, il Ministro per la solidarietà sociale è autorizzato a predisporre, di concerto con il Ministro del lavoro e della previdenza sociale, apposite campagne informative, nei limiti degli ordinari stanziamenti di bilancio destinati allo scopo.</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Capo II</w:t>
      </w:r>
      <w:r w:rsidRPr="002867D2">
        <w:rPr>
          <w:rFonts w:ascii="Times New Roman" w:eastAsia="Times New Roman" w:hAnsi="Times New Roman" w:cs="Times New Roman"/>
          <w:sz w:val="24"/>
          <w:szCs w:val="24"/>
          <w:lang w:eastAsia="it-IT"/>
        </w:rPr>
        <w:br/>
        <w:t>CONGEDI PARENTALI, FAMILIARI E FORMATIVI</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3.</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(Congedi dei genitori).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All'articolo 1 della legge 30 dicembre 1971, n. 1204, dopo il terzo comma è inserito il seguente:</w:t>
      </w:r>
      <w:r w:rsidRPr="002867D2">
        <w:rPr>
          <w:rFonts w:ascii="Times New Roman" w:eastAsia="Times New Roman" w:hAnsi="Times New Roman" w:cs="Times New Roman"/>
          <w:sz w:val="24"/>
          <w:szCs w:val="24"/>
          <w:lang w:eastAsia="it-IT"/>
        </w:rPr>
        <w:br/>
        <w:t>"Il diritto di astenersi dal lavoro di cui all'articolo 7, ed il relativo trattamento economico, sono riconosciuti anche se l'altro genitore non ne ha diritto. Le disposizioni di cui al comma 1 dell'articolo 7 e al comma 2 dell'articolo 15 sono estese alle lavoratrici di cui alla legge 29 dicembre 1987, n. 546, madri di bambini nati a decorrere dal 1° gennaio 2000. Alle predette lavoratrici i diritti previsti dal comma 1 dell'articolo 7 e dal comma 2 dell'articolo 15 spettano limitatamente ad un periodo di tre mesi, entro il primo anno di vita del bambino".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lastRenderedPageBreak/>
        <w:t>2. L'articolo 7 della legge 30 dicembre 1971, n. 1204, è sostituito dal seguente:</w:t>
      </w:r>
      <w:r w:rsidRPr="002867D2">
        <w:rPr>
          <w:rFonts w:ascii="Times New Roman" w:eastAsia="Times New Roman" w:hAnsi="Times New Roman" w:cs="Times New Roman"/>
          <w:sz w:val="24"/>
          <w:szCs w:val="24"/>
          <w:lang w:eastAsia="it-IT"/>
        </w:rPr>
        <w:br/>
        <w:t xml:space="preserve">Art. 7. – </w:t>
      </w:r>
      <w:r w:rsidRPr="002867D2">
        <w:rPr>
          <w:rFonts w:ascii="Times New Roman" w:eastAsia="Times New Roman" w:hAnsi="Times New Roman" w:cs="Times New Roman"/>
          <w:i/>
          <w:iCs/>
          <w:sz w:val="24"/>
          <w:szCs w:val="24"/>
          <w:lang w:eastAsia="it-IT"/>
        </w:rPr>
        <w:t>1.</w:t>
      </w:r>
      <w:r w:rsidRPr="002867D2">
        <w:rPr>
          <w:rFonts w:ascii="Times New Roman" w:eastAsia="Times New Roman" w:hAnsi="Times New Roman" w:cs="Times New Roman"/>
          <w:sz w:val="24"/>
          <w:szCs w:val="24"/>
          <w:lang w:eastAsia="it-IT"/>
        </w:rPr>
        <w:t xml:space="preserve"> Nei primi otto anni di vita del bambino ciascun genitore ha diritto di astenersi dal lavoro secondo le modalità stabilite dal presente articolo. Le astensioni dal lavoro dei genitori non possono complessivamente eccedere il limite di dieci mesi, fatto salvo il disposto del comma 2 del presente articolo. Nell'ambito del predetto limite, il diritto di astenersi dal lavoro compete: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a) </w:t>
      </w:r>
      <w:r w:rsidRPr="002867D2">
        <w:rPr>
          <w:rFonts w:ascii="Times New Roman" w:eastAsia="Times New Roman" w:hAnsi="Times New Roman" w:cs="Times New Roman"/>
          <w:sz w:val="24"/>
          <w:szCs w:val="24"/>
          <w:lang w:eastAsia="it-IT"/>
        </w:rPr>
        <w:t xml:space="preserve">alla madre lavoratrice, trascorso il periodo di astensione obbligatoria di cui all'articolo 4, primo comma, lettera </w:t>
      </w:r>
      <w:r w:rsidRPr="002867D2">
        <w:rPr>
          <w:rFonts w:ascii="Times New Roman" w:eastAsia="Times New Roman" w:hAnsi="Times New Roman" w:cs="Times New Roman"/>
          <w:i/>
          <w:iCs/>
          <w:sz w:val="24"/>
          <w:szCs w:val="24"/>
          <w:lang w:eastAsia="it-IT"/>
        </w:rPr>
        <w:t xml:space="preserve">c), </w:t>
      </w:r>
      <w:r w:rsidRPr="002867D2">
        <w:rPr>
          <w:rFonts w:ascii="Times New Roman" w:eastAsia="Times New Roman" w:hAnsi="Times New Roman" w:cs="Times New Roman"/>
          <w:sz w:val="24"/>
          <w:szCs w:val="24"/>
          <w:lang w:eastAsia="it-IT"/>
        </w:rPr>
        <w:t>della presente legge, per un periodo continuativo o frazionato non superiore a sei mesi;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al padre lavoratore, per un periodo continuativo o frazionato non superiore a sei mesi;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c) </w:t>
      </w:r>
      <w:r w:rsidRPr="002867D2">
        <w:rPr>
          <w:rFonts w:ascii="Times New Roman" w:eastAsia="Times New Roman" w:hAnsi="Times New Roman" w:cs="Times New Roman"/>
          <w:sz w:val="24"/>
          <w:szCs w:val="24"/>
          <w:lang w:eastAsia="it-IT"/>
        </w:rPr>
        <w:t>qualora vi sia un solo genitore, per un periodo continuativo o frazionato non superiore a dieci mesi.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2.</w:t>
      </w:r>
      <w:r w:rsidRPr="002867D2">
        <w:rPr>
          <w:rFonts w:ascii="Times New Roman" w:eastAsia="Times New Roman" w:hAnsi="Times New Roman" w:cs="Times New Roman"/>
          <w:sz w:val="24"/>
          <w:szCs w:val="24"/>
          <w:lang w:eastAsia="it-IT"/>
        </w:rPr>
        <w:t xml:space="preserve"> Qualora il padre lavoratore eserciti il diritto di astenersi dal lavoro per un periodo non inferiore a tre mesi, il limite di cui alla lettera </w:t>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del comma 1 è elevato a sette mesi e il limite complessivo delle astensioni dal lavoro dei genitori di cui al medesimo comma è conseguentemente elevato a undici mesi.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3.</w:t>
      </w:r>
      <w:r w:rsidRPr="002867D2">
        <w:rPr>
          <w:rFonts w:ascii="Times New Roman" w:eastAsia="Times New Roman" w:hAnsi="Times New Roman" w:cs="Times New Roman"/>
          <w:sz w:val="24"/>
          <w:szCs w:val="24"/>
          <w:lang w:eastAsia="it-IT"/>
        </w:rPr>
        <w:t xml:space="preserve"> Ai fini dell'esercizio del diritto di cui al comma 1, il genitore è tenuto, salvo casi di oggettiva impossibilità, a preavvisare il datore di lavoro secondo le modalità e i criteri definiti dai contratti collettivi, e comunque con un periodo di preavviso non inferiore a quindici giorni.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4.</w:t>
      </w:r>
      <w:r w:rsidRPr="002867D2">
        <w:rPr>
          <w:rFonts w:ascii="Times New Roman" w:eastAsia="Times New Roman" w:hAnsi="Times New Roman" w:cs="Times New Roman"/>
          <w:sz w:val="24"/>
          <w:szCs w:val="24"/>
          <w:lang w:eastAsia="it-IT"/>
        </w:rPr>
        <w:t xml:space="preserve"> Entrambi i genitori, alternativamente, hanno diritto, altresí, di astenersi dal lavoro durante le malattie del bambino di età inferiore a otto anni ovvero di età compresa fra tre e otto anni, in quest'ultimo caso nel limite di cinque giorni lavorativi all'anno per ciascun genitore, dietro presentazione di certificato rilasciato da un medico specialista del Servizio sanitario nazionale o con esso convenzionato. La malattia del bambino che dia luogo a ricovero ospedaliero interrompe il decorso del periodo di ferie in godimento da parte del genitore.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5.</w:t>
      </w:r>
      <w:r w:rsidRPr="002867D2">
        <w:rPr>
          <w:rFonts w:ascii="Times New Roman" w:eastAsia="Times New Roman" w:hAnsi="Times New Roman" w:cs="Times New Roman"/>
          <w:sz w:val="24"/>
          <w:szCs w:val="24"/>
          <w:lang w:eastAsia="it-IT"/>
        </w:rPr>
        <w:t xml:space="preserve"> I periodi di astensione dal lavoro di cui ai commi 1 e 4 sono computati nell'anzianità di servizio, esclusi gli effetti relativi alle ferie e alla tredicesima mensilità o alla gratifica natalizia. Ai fini della fruizione del congedo di cui al comma 4, la lavoratrice ed il lavoratore sono tenuti a presentare una dichiarazione rilasciata ai sensi dell'articolo 4 della legge 4 gennaio 1968, n. 15, attestante che l'altro genitore non sia in astensione dal lavoro negli stessi giorni per il medesimo motivo".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All'articolo 10 della legge 30 dicembre 1971, n. 1204, sono aggiunti, in fine, i seguenti commi:</w:t>
      </w:r>
      <w:r w:rsidRPr="002867D2">
        <w:rPr>
          <w:rFonts w:ascii="Times New Roman" w:eastAsia="Times New Roman" w:hAnsi="Times New Roman" w:cs="Times New Roman"/>
          <w:sz w:val="24"/>
          <w:szCs w:val="24"/>
          <w:lang w:eastAsia="it-IT"/>
        </w:rPr>
        <w:br/>
        <w:t xml:space="preserve">"Ai periodi di riposo di cui al presente articolo si applicano le disposizioni in materia di contribuzione figurativa, nonché di riscatto ovvero di versamento dei relativi contributi previsti dal comma 2, lettera </w:t>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dell'articolo 15.</w:t>
      </w:r>
      <w:r w:rsidRPr="002867D2">
        <w:rPr>
          <w:rFonts w:ascii="Times New Roman" w:eastAsia="Times New Roman" w:hAnsi="Times New Roman" w:cs="Times New Roman"/>
          <w:sz w:val="24"/>
          <w:szCs w:val="24"/>
          <w:lang w:eastAsia="it-IT"/>
        </w:rPr>
        <w:br/>
        <w:t>In caso di parto plurimo, i periodi di riposo sono raddoppiati e le ore aggiuntive rispetto a quelle previste dal primo comma del presente articolo possono essere utilizzate anche dal padre".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4. L'articolo 15 della legge 30 dicembre 1971, n. 1204, è sostituito dal seguente:</w:t>
      </w:r>
      <w:r w:rsidRPr="002867D2">
        <w:rPr>
          <w:rFonts w:ascii="Times New Roman" w:eastAsia="Times New Roman" w:hAnsi="Times New Roman" w:cs="Times New Roman"/>
          <w:sz w:val="24"/>
          <w:szCs w:val="24"/>
          <w:lang w:eastAsia="it-IT"/>
        </w:rPr>
        <w:br/>
        <w:t xml:space="preserve">"Art. 15. – </w:t>
      </w:r>
      <w:r w:rsidRPr="002867D2">
        <w:rPr>
          <w:rFonts w:ascii="Times New Roman" w:eastAsia="Times New Roman" w:hAnsi="Times New Roman" w:cs="Times New Roman"/>
          <w:i/>
          <w:iCs/>
          <w:sz w:val="24"/>
          <w:szCs w:val="24"/>
          <w:lang w:eastAsia="it-IT"/>
        </w:rPr>
        <w:t>1.</w:t>
      </w:r>
      <w:r w:rsidRPr="002867D2">
        <w:rPr>
          <w:rFonts w:ascii="Times New Roman" w:eastAsia="Times New Roman" w:hAnsi="Times New Roman" w:cs="Times New Roman"/>
          <w:sz w:val="24"/>
          <w:szCs w:val="24"/>
          <w:lang w:eastAsia="it-IT"/>
        </w:rPr>
        <w:t xml:space="preserve"> Le lavoratrici hanno diritto ad un'indennità giornaliera pari all'80 per cento della retribuzione per tutto il periodo di astensione obbligatoria dal lavoro stabilita dagli articoli 4 e 5 della presente legge. Tale indennità è comprensiva di ogni altra indennità spettante per malattia.</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2.</w:t>
      </w:r>
      <w:r w:rsidRPr="002867D2">
        <w:rPr>
          <w:rFonts w:ascii="Times New Roman" w:eastAsia="Times New Roman" w:hAnsi="Times New Roman" w:cs="Times New Roman"/>
          <w:sz w:val="24"/>
          <w:szCs w:val="24"/>
          <w:lang w:eastAsia="it-IT"/>
        </w:rPr>
        <w:t xml:space="preserve"> Per i periodi di astensione facoltativa di cui all'articolo 7, comma 1, ai lavoratori e alle lavoratrici è dovuta:</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a) </w:t>
      </w:r>
      <w:r w:rsidRPr="002867D2">
        <w:rPr>
          <w:rFonts w:ascii="Times New Roman" w:eastAsia="Times New Roman" w:hAnsi="Times New Roman" w:cs="Times New Roman"/>
          <w:sz w:val="24"/>
          <w:szCs w:val="24"/>
          <w:lang w:eastAsia="it-IT"/>
        </w:rPr>
        <w:t>fino al terzo anno di vita del bambino, un'indennità pari al 30 per cento della retribuzione, per un periodo massimo complessivo tra i genitori di sei mesi; il relativo periodo, entro il limite predetto, è coperto da contribuzione figurativa;</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 xml:space="preserve">fuori dei casi di cui alla lettera </w:t>
      </w:r>
      <w:r w:rsidRPr="002867D2">
        <w:rPr>
          <w:rFonts w:ascii="Times New Roman" w:eastAsia="Times New Roman" w:hAnsi="Times New Roman" w:cs="Times New Roman"/>
          <w:i/>
          <w:iCs/>
          <w:sz w:val="24"/>
          <w:szCs w:val="24"/>
          <w:lang w:eastAsia="it-IT"/>
        </w:rPr>
        <w:t xml:space="preserve">a), </w:t>
      </w:r>
      <w:r w:rsidRPr="002867D2">
        <w:rPr>
          <w:rFonts w:ascii="Times New Roman" w:eastAsia="Times New Roman" w:hAnsi="Times New Roman" w:cs="Times New Roman"/>
          <w:sz w:val="24"/>
          <w:szCs w:val="24"/>
          <w:lang w:eastAsia="it-IT"/>
        </w:rPr>
        <w:t xml:space="preserve">fino al compimento dell'ottavo anno di vita del bambino, e comunque per il restante periodo di astensione facoltativa, un'indennità pari al 30 per cento della retribuzione, nell'ipotesi in cui il reddito individuale dell'interessato sia inferiore a 2,5 volte l'importo del trattamento minimo di pensione a carico dell'assicurazione generale obbligatoria; il periodo medesimo è coperto da contribuzione figurativa, attribuendo come valore retributivo per </w:t>
      </w:r>
      <w:r w:rsidRPr="002867D2">
        <w:rPr>
          <w:rFonts w:ascii="Times New Roman" w:eastAsia="Times New Roman" w:hAnsi="Times New Roman" w:cs="Times New Roman"/>
          <w:sz w:val="24"/>
          <w:szCs w:val="24"/>
          <w:lang w:eastAsia="it-IT"/>
        </w:rPr>
        <w:lastRenderedPageBreak/>
        <w:t>tale periodo il 200 per cento del valore massimo dell'assegno sociale, proporzionato ai periodi di riferimento, salva la facoltà di integrazione da parte dell'interessato, con riscatto ai sensi dell'articolo 13 della legge 12 agosto 1962, n. 1338, ovvero con versamento dei relativi contributi secondo i criteri e le modalità della prosecuzione volontaria.</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3.</w:t>
      </w:r>
      <w:r w:rsidRPr="002867D2">
        <w:rPr>
          <w:rFonts w:ascii="Times New Roman" w:eastAsia="Times New Roman" w:hAnsi="Times New Roman" w:cs="Times New Roman"/>
          <w:sz w:val="24"/>
          <w:szCs w:val="24"/>
          <w:lang w:eastAsia="it-IT"/>
        </w:rPr>
        <w:t xml:space="preserve"> Per i periodi di astensione per malattia del bambino di cui all'articolo 7, comma 4, è dovuta:</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a) </w:t>
      </w:r>
      <w:r w:rsidRPr="002867D2">
        <w:rPr>
          <w:rFonts w:ascii="Times New Roman" w:eastAsia="Times New Roman" w:hAnsi="Times New Roman" w:cs="Times New Roman"/>
          <w:sz w:val="24"/>
          <w:szCs w:val="24"/>
          <w:lang w:eastAsia="it-IT"/>
        </w:rPr>
        <w:t>fino al compimento del terzo anno di vita del bambino, la contribuzione figurativa;</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 xml:space="preserve">successivamente al terzo anno di vita del bambino e fino al compimento dell'ottavo anno, la copertura contributiva calcolata con le modalità previste dal comma 2, lettera </w:t>
      </w:r>
      <w:r w:rsidRPr="002867D2">
        <w:rPr>
          <w:rFonts w:ascii="Times New Roman" w:eastAsia="Times New Roman" w:hAnsi="Times New Roman" w:cs="Times New Roman"/>
          <w:i/>
          <w:iCs/>
          <w:sz w:val="24"/>
          <w:szCs w:val="24"/>
          <w:lang w:eastAsia="it-IT"/>
        </w:rPr>
        <w:t>b).</w:t>
      </w:r>
      <w:r w:rsidRPr="002867D2">
        <w:rPr>
          <w:rFonts w:ascii="Times New Roman" w:eastAsia="Times New Roman" w:hAnsi="Times New Roman" w:cs="Times New Roman"/>
          <w:i/>
          <w:iCs/>
          <w:sz w:val="24"/>
          <w:szCs w:val="24"/>
          <w:lang w:eastAsia="it-IT"/>
        </w:rPr>
        <w:br/>
        <w:t>4.</w:t>
      </w:r>
      <w:r w:rsidRPr="002867D2">
        <w:rPr>
          <w:rFonts w:ascii="Times New Roman" w:eastAsia="Times New Roman" w:hAnsi="Times New Roman" w:cs="Times New Roman"/>
          <w:sz w:val="24"/>
          <w:szCs w:val="24"/>
          <w:lang w:eastAsia="it-IT"/>
        </w:rPr>
        <w:t xml:space="preserve"> Il reddito individuale di cui al comma 2, lettera </w:t>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è determinato secondo i criteri previsti in materia di limiti reddituali per l'integrazione al minimo.</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5.</w:t>
      </w:r>
      <w:r w:rsidRPr="002867D2">
        <w:rPr>
          <w:rFonts w:ascii="Times New Roman" w:eastAsia="Times New Roman" w:hAnsi="Times New Roman" w:cs="Times New Roman"/>
          <w:sz w:val="24"/>
          <w:szCs w:val="24"/>
          <w:lang w:eastAsia="it-IT"/>
        </w:rPr>
        <w:t xml:space="preserve"> Le indennità di cui al presente articolo sono corrisposte con gli stessi criteri previsti per l'erogazione delle prestazioni dell'assicurazione obbligatoria contro le malattie dall'ente assicuratore della malattia presso il quale la lavoratrice o il lavoratore è assicurato e non sono subordinate a particolari requisiti contributivi o di anzianità assicurativa".</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5. Le disposizioni del presente articolo trovano applicazione anche nei confronti dei genitori adottivi o affidatari. Qualora, all'atto dell'adozione o dell'affidamento, il minore abbia un'età compresa fra sei e dodici anni, il diritto di astenersi dal lavoro, ai sensi dei commi 1 e 2 del presente articolo, può essere esercitato nei primi tre anni dall'ingresso del minore nel nucleo familiare. Nei confronti delle lavoratrici a domicilio e delle addette ai servizi domestici e familiari, le disposizioni dell'articolo 15 della legge 30 dicembre 1971, n. 1204, come sostituito dal comma 4 del presente articolo, si applicano limitatamente al comma 1.</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4.</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(Congedi per eventi e cause particolari).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La lavoratrice e il lavoratore hanno diritto ad un permesso retribuito di tre giorni lavorativi all'anno in caso di decesso o di documentata grave infermità del coniuge o di un parente entro il secondo grado o del convivente, purché la stabile convivenza con il lavoratore o la lavoratrice risulti da certificazione anagrafica. In alternativa, nei casi di documentata grave infermità, il lavoratore e la lavoratrice possono concordare con il datore di lavoro diverse modalità di espletamento dell'attività lavorativa.</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I dipendenti di datori di lavoro pubblici o privati possono richiedere, per gravi e documentati motivi familiari, fra i quali le patologie individuate ai sensi del comma 4, un periodo di congedo, continuativo o frazionato, non superiore a due anni. Durante tale periodo il dipendente conserva il posto di lavoro, non ha diritto alla retribuzione e non può svolgere alcun tipo di attività lavorativa. Il congedo non è computato nell'anzianità di servizio né ai fini previdenziali; il lavoratore può procedere al riscatto, ovvero al versamento dei relativi contributi, calcolati secondo i criteri della prosecuzione volontaria.</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I contratti collettivi disciplinano le modalità di partecipazione agli eventuali corsi di formazione del personale che riprende l'attività lavorativa dopo la sospensione di cui al comma 2.</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4. Entro sessanta giorni dalla data di entrata in vigore della presente legge, il Ministro per la solidarietà sociale, con proprio decreto, di concerto con i Ministri della sanità, del lavoro e della previdenza sociale e per le pari opportunità, provvede alla definizione dei criteri per la fruizione dei congedi di cui al presente articolo, all'individuazione delle patologie specifiche ai sensi del comma 2, nonché alla individuazione dei criteri per la verifica periodica relativa alla sussistenza delle condizioni di grave infermità dei soggetti di cui al comma 1.</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lastRenderedPageBreak/>
        <w:t>Art. 5.</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(Congedi per la formazione).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Ferme restando le vigenti disposizioni relative al diritto allo studio di cui all'articolo 10 della legge 20 maggio 1970, n. 300, i dipendenti di datori di lavoro pubblici o privati, che abbiano almeno cinque anni di anzianità di servizio presso la stessa azienda o amministrazione, possono richiedere una sospensione del rapporto di lavoro per congedi per la formazione per un periodo non superiore ad undici mesi, continuativo o frazionato, nell'arco dell'intera vita lavorativa.</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Per "congedo per la formazione" si intende quello finalizzato al completamento della scuola dell'obbligo, al conseguimento del titolo di studio di secondo grado, del diploma universitario o di laurea, alla partecipazione ad attività formative diverse da quelle poste in essere o finanziate dal datore di lavoro.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Durante il periodo di congedo per la formazione il dipendente conserva il posto di lavoro e non ha diritto alla retribuzione. Tale periodo non è computabile nell'anzianità di servizio e non è cumulabile con le ferie, con la malattia e con altri congedi. Una grave e documentata infermità, individuata sulla base dei criteri stabiliti dal medesimo decreto di cui all'articolo 4, comma 4, intervenuta durante il periodo di congedo, di cui sia data comunicazione scritta al datore di lavoro, dà luogo ad interruzione del congedo medesimo.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4. Il datore di lavoro può non accogliere la richiesta di congedo per la formazione ovvero può differirne l'accoglimento nel caso di comprovate esigenze organizzative. I contratti collettivi prevedono le modalità di fruizione del congedo stesso, individuano le percentuali massime dei lavoratori che possono avvalersene, disciplinano le ipotesi di differimento o di diniego all'esercizio di tale facoltà e fissano i termini del preavviso, che comunque non può essere inferiore a trenta giorni.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5. Il lavoratore può procedere al riscatto del periodo di cui al presente articolo, ovvero al versamento dei relativi contributi, calcolati secondo i criteri della prosecuzione volontaria.</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6.</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(Congedi per la formazione continua).</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I lavoratori, occupati e non occupati, hanno diritto di proseguire i percorsi di formazione per tutto l'arco della vita, per accrescere conoscenze e competenze professionali. Lo Stato, le regioni e gli enti locali assicurano un'offerta formativa articolata sul territorio e, ove necessario, integrata, accreditata secondo le disposizioni dell'articolo 17 della legge 24 giugno 1997, n. 196, e successive modificazioni, e del relativo regolamento di attuazione. L'offerta formativa deve consentire percorsi personalizzati, certificati e riconosciuti come crediti formativi in ambito nazionale ed europeo. La formazione può corrispondere ad autonoma scelta del lavoratore ovvero essere predisposta dall'azienda, attraverso i piani formativi aziendali o territoriali concordati tra le parti sociali in coerenza con quanto previsto dal citato articolo 17 della legge n. 196 del 1997, e successive modificazioni.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La contrattazione collettiva di categoria, nazionale e decentrata, definisce il monte ore da destinare ai congedi di cui al presente articolo, i criteri per l'individuazione dei lavoratori e le modalità di orario e retribuzione connesse alla partecipazione ai percorsi di formazione.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lastRenderedPageBreak/>
        <w:t>3. Gli interventi formativi che rientrano nei piani aziendali o territoriali di cui al comma 1 possono essere finanziati attraverso il fondo interprofessionale per la formazione continua, di cui al regolamento di attuazione del citato articolo 17 della legge n. 196 del 1997.</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4. Le regioni possono finanziare progetti di formazione dei lavoratori che, sulla base di accordi contrattuali, prevedano quote di riduzione dell'orario di lavoro, nonché progetti di formazione presentati direttamente dai lavoratori. Per le finalità del presente comma è riservata una quota, pari a lire 30 miliardi annue, del Fondo per l'occupazione di cui all'articolo 1, comma 7, del decreto-legge 20 maggio 1993, n. 148, convertito, con modificazioni, dalla legge 19 luglio 1993, n. 236. Il Ministro del lavoro e della previdenza sociale, di concerto con il Ministro del tesoro, del bilancio e della programmazione economica, provvede annualmente, con proprio decreto, a ripartire fra le regioni la predetta quota, sentita la Conferenza permanente per i rapporti tra lo Stato, le regioni e le province autonome di Trento e di Bolzano.</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7.</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(Anticipazione del trattamento di fine rapporto).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Oltre che nelle ipotesi di cui all'articolo 2120, ottavo comma, del codice civile, il trattamento di fine rapporto può essere anticipato ai fini delle spese da sostenere durante i periodi di fruizione dei congedi di cui all'articolo 7, comma 1, della legge 30 dicembre 1971, n. 1204, come sostituito dall'articolo 3, comma 2, della presente legge, e di cui agli articoli 5 e 6 della presente legge. L'anticipazione è corrisposta unitamente alla retribuzione relativa al mese che precede la data di inizio del congedo. Le medesime disposizioni si applicano anche alle domande di anticipazioni per indennità equipollenti al trattamento di fine rapporto, comunque denominate, spettanti a lavoratori dipendenti di datori di lavoro pubblici e privati.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Gli statuti delle forme pensionistiche complementari di cui al decreto legislativo 21 aprile 1993, n. 124, e successive modificazioni, possono prevedere la possibilità di conseguire, ai sensi dell'articolo 7, comma 4, del citato decreto legislativo n. 124 del 1993, un'anticipazione delle prestazioni per le spese da sostenere durante i periodi di fruizione dei congedi di cui agli articoli 5 e 6 della presente legge.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Con decreto del Ministro per la funzione pubblica, di concerto con i Ministri del tesoro, del bilancio e della programmazione economica, del lavoro e della previdenza sociale e per la solidarietà sociale, sono definite le modalità applicative delle disposizioni del comma 1 in riferimento ai dipendenti delle pubbliche amministrazioni.</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8.</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(Prolungamento dell'età pensionabile).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I soggetti che usufruiscono dei congedi previsti dall'articolo 5, comma 1, possono, a richiesta, prolungare il rapporto di lavoro di un periodo corrispondente, anche in deroga alle disposizioni concernenti l'età di pensionamento obbligatoria. La richiesta deve essere comunicata al datore di lavoro con un preavviso non inferiore a sei mesi rispetto alla data prevista per il pensionamento.</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Capo III</w:t>
      </w:r>
      <w:r w:rsidRPr="002867D2">
        <w:rPr>
          <w:rFonts w:ascii="Times New Roman" w:eastAsia="Times New Roman" w:hAnsi="Times New Roman" w:cs="Times New Roman"/>
          <w:sz w:val="24"/>
          <w:szCs w:val="24"/>
          <w:lang w:eastAsia="it-IT"/>
        </w:rPr>
        <w:br/>
        <w:t>FLESSIBILITÀ DI ORARIO</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9.</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(Misure a sostegno della flessibilità di orario).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lastRenderedPageBreak/>
        <w:t>1. Al fine di promuovere e incentivare forme di articolazione della prestazione lavorativa volte a conciliare tempo di vita e di lavoro, nell'ambito del Fondo per l'occupazione di cui all'articolo 1, comma 7, del decreto-legge 20 maggio 1993, n. 148, convertito, con modificazioni, dalla legge 19 luglio 1993, n. 236, è destinata una quota fino a lire 40 miliardi annue a decorrere dall'anno 2000, al fine di erogare contributi, di cui almeno il 50 per cento destinato ad imprese fino a cinquanta dipendenti, in favore di aziende che applichino accordi contrattuali che prevedono azioni positive per la flessibilità, ed in particolare: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a) </w:t>
      </w:r>
      <w:r w:rsidRPr="002867D2">
        <w:rPr>
          <w:rFonts w:ascii="Times New Roman" w:eastAsia="Times New Roman" w:hAnsi="Times New Roman" w:cs="Times New Roman"/>
          <w:sz w:val="24"/>
          <w:szCs w:val="24"/>
          <w:lang w:eastAsia="it-IT"/>
        </w:rPr>
        <w:t xml:space="preserve">progetti articolati per consentire alla lavoratrice madre o al lavoratore padre, anche quando uno dei due sia lavoratore autonomo, ovvero quando abbiano in affidamento o in adozione un minore, di usufruire di particolari forme di flessibilità degli orari e dell'organizzazione del lavoro, tra cui </w:t>
      </w:r>
      <w:r w:rsidRPr="002867D2">
        <w:rPr>
          <w:rFonts w:ascii="Times New Roman" w:eastAsia="Times New Roman" w:hAnsi="Times New Roman" w:cs="Times New Roman"/>
          <w:i/>
          <w:iCs/>
          <w:sz w:val="24"/>
          <w:szCs w:val="24"/>
          <w:lang w:eastAsia="it-IT"/>
        </w:rPr>
        <w:t>part time</w:t>
      </w:r>
      <w:r w:rsidRPr="002867D2">
        <w:rPr>
          <w:rFonts w:ascii="Times New Roman" w:eastAsia="Times New Roman" w:hAnsi="Times New Roman" w:cs="Times New Roman"/>
          <w:sz w:val="24"/>
          <w:szCs w:val="24"/>
          <w:lang w:eastAsia="it-IT"/>
        </w:rPr>
        <w:t xml:space="preserve"> reversibile, telelavoro e lavoro a domicilio, orario flessibile in entrata o in uscita, banca delle ore, flessibilità sui turni, orario concentrato, con priorità per i genitori che abbiano bambini fino ad otto anni di età o fino a dodici anni, in caso di affidamento o di adozione;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programmi di formazione per il reinserimento dei lavoratori dopo il periodo di congedo;</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c) </w:t>
      </w:r>
      <w:r w:rsidRPr="002867D2">
        <w:rPr>
          <w:rFonts w:ascii="Times New Roman" w:eastAsia="Times New Roman" w:hAnsi="Times New Roman" w:cs="Times New Roman"/>
          <w:sz w:val="24"/>
          <w:szCs w:val="24"/>
          <w:lang w:eastAsia="it-IT"/>
        </w:rPr>
        <w:t>progetti che consentano la sostituzione del titolare di impresa o del lavoratore autonomo, che benefici del periodo di astensione obbligatoria o dei congedi parentali, con altro imprenditore o lavoratore autonomo.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Con decreto del Ministro del lavoro e della previdenza sociale, di concerto con i Ministri per la solidarietà sociale e per le pari opportunità, sono definiti i criteri e le modalità per la concessione dei contributi di cui al comma 1.</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Capo IV</w:t>
      </w:r>
      <w:r w:rsidRPr="002867D2">
        <w:rPr>
          <w:rFonts w:ascii="Times New Roman" w:eastAsia="Times New Roman" w:hAnsi="Times New Roman" w:cs="Times New Roman"/>
          <w:sz w:val="24"/>
          <w:szCs w:val="24"/>
          <w:lang w:eastAsia="it-IT"/>
        </w:rPr>
        <w:br/>
        <w:t>ULTERIORI DISPOSIZIONI A SOSTEGNO DELLA MATERNITÀ E DELLA PATERNITÀ</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10.</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(Sostituzione di lavoratori in astensione).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L'assunzione di lavoratori a tempo determinato in sostituzione di lavoratori in astensione obbligatoria o facoltativa dal lavoro ai sensi della legge 30 dicembre 1971, n. 1204, come modificata dalla presente legge, può avvenire anche con anticipo fino ad un mese rispetto al periodo di inizio dell'astensione, salvo periodi superiori previsti dalla contrattazione collettiva.</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Nelle aziende con meno di venti dipendenti, per i contributi a carico del datore di lavoro che assume lavoratori con contratto a tempo determinato in sostituzione di lavoratori in astensione ai sensi degli articoli 4, 5 e 7 della legge 30 dicembre 1971, n. 1204, come modificati dalla presente legge, è concesso uno sgravio contributivo del 50 per cento. Le disposizioni del presente comma trovano applicazione fino al compimento di un anno di età del figlio della lavoratrice o del lavoratore in astensione e per un anno dall'accoglienza del minore adottato o in affidamento.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Nelle aziende in cui operano lavoratrici autonome di cui alla legge 29 dicembre 1987, n. 546, è possibile procedere, in caso di maternità delle suddette lavoratrici, e comunque entro il primo anno di età del bambino o nel primo anno di accoglienza del minore adottato o in affidamento, all'assunzione di un lavoratore a tempo determinato, per un periodo massimo di dodici mesi, con le medesime agevolazioni di cui al comma 2.</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11.</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(Parti prematuri).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All'articolo 4 della legge 30 dicembre 1971, n. 1204, sono aggiunti, in fine, i seguenti commi:</w:t>
      </w:r>
      <w:r w:rsidRPr="002867D2">
        <w:rPr>
          <w:rFonts w:ascii="Times New Roman" w:eastAsia="Times New Roman" w:hAnsi="Times New Roman" w:cs="Times New Roman"/>
          <w:sz w:val="24"/>
          <w:szCs w:val="24"/>
          <w:lang w:eastAsia="it-IT"/>
        </w:rPr>
        <w:br/>
        <w:t xml:space="preserve">"Qualora il parto avvenga in data anticipata rispetto a quella presunta, i giorni non goduti di </w:t>
      </w:r>
      <w:r w:rsidRPr="002867D2">
        <w:rPr>
          <w:rFonts w:ascii="Times New Roman" w:eastAsia="Times New Roman" w:hAnsi="Times New Roman" w:cs="Times New Roman"/>
          <w:sz w:val="24"/>
          <w:szCs w:val="24"/>
          <w:lang w:eastAsia="it-IT"/>
        </w:rPr>
        <w:lastRenderedPageBreak/>
        <w:t>astensione obbligatoria prima del parto vengono aggiunti al periodo di astensione obbligatoria dopo il parto.</w:t>
      </w:r>
      <w:r w:rsidRPr="002867D2">
        <w:rPr>
          <w:rFonts w:ascii="Times New Roman" w:eastAsia="Times New Roman" w:hAnsi="Times New Roman" w:cs="Times New Roman"/>
          <w:sz w:val="24"/>
          <w:szCs w:val="24"/>
          <w:lang w:eastAsia="it-IT"/>
        </w:rPr>
        <w:br/>
        <w:t>La lavoratrice è tenuta a presentare, entro trenta giorni, il certificato attestante la data del parto".</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12.</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(Flessibilità dell'astensione obbligatoria).</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Dopo l'articolo 4 della legge 30 dicembre 1971, n. 1204, è inserito il seguente:</w:t>
      </w:r>
      <w:r w:rsidRPr="002867D2">
        <w:rPr>
          <w:rFonts w:ascii="Times New Roman" w:eastAsia="Times New Roman" w:hAnsi="Times New Roman" w:cs="Times New Roman"/>
          <w:sz w:val="24"/>
          <w:szCs w:val="24"/>
          <w:lang w:eastAsia="it-IT"/>
        </w:rPr>
        <w:br/>
        <w:t>"Art. 4-</w:t>
      </w:r>
      <w:r w:rsidRPr="002867D2">
        <w:rPr>
          <w:rFonts w:ascii="Times New Roman" w:eastAsia="Times New Roman" w:hAnsi="Times New Roman" w:cs="Times New Roman"/>
          <w:i/>
          <w:iCs/>
          <w:sz w:val="24"/>
          <w:szCs w:val="24"/>
          <w:lang w:eastAsia="it-IT"/>
        </w:rPr>
        <w:t xml:space="preserve">bis. – 1. </w:t>
      </w:r>
      <w:r w:rsidRPr="002867D2">
        <w:rPr>
          <w:rFonts w:ascii="Times New Roman" w:eastAsia="Times New Roman" w:hAnsi="Times New Roman" w:cs="Times New Roman"/>
          <w:sz w:val="24"/>
          <w:szCs w:val="24"/>
          <w:lang w:eastAsia="it-IT"/>
        </w:rPr>
        <w:t>Ferma restando la durata complessiva dell'astensione dal lavoro, le lavoratrici hanno la facoltà di astenersi dal lavoro a partire dal mese precedente la data presunta del parto e nei quattro mesi successivi al parto, a condizione che il medico specialista del Servizio sanitario nazionale o con esso convenzionato e il medico competente ai fini della prevenzione e tutela della salute nei luoghi di lavoro attestino che tale opzione non arrechi pregiudizio alla salute della gestante e del nascituro".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Il Ministro del lavoro e della previdenza sociale, di concerto con i Ministri della sanità e per la solidarietà sociale, sentite le parti sociali, definisce, con proprio decreto da emanare entro sei mesi dalla data di entrata in vigore della presente legge, l'elenco dei lavori ai quali non si applicano le disposizioni dell'articolo 4-</w:t>
      </w:r>
      <w:r w:rsidRPr="002867D2">
        <w:rPr>
          <w:rFonts w:ascii="Times New Roman" w:eastAsia="Times New Roman" w:hAnsi="Times New Roman" w:cs="Times New Roman"/>
          <w:i/>
          <w:iCs/>
          <w:sz w:val="24"/>
          <w:szCs w:val="24"/>
          <w:lang w:eastAsia="it-IT"/>
        </w:rPr>
        <w:t>bis</w:t>
      </w:r>
      <w:r w:rsidRPr="002867D2">
        <w:rPr>
          <w:rFonts w:ascii="Times New Roman" w:eastAsia="Times New Roman" w:hAnsi="Times New Roman" w:cs="Times New Roman"/>
          <w:sz w:val="24"/>
          <w:szCs w:val="24"/>
          <w:lang w:eastAsia="it-IT"/>
        </w:rPr>
        <w:t xml:space="preserve"> della legge 30 dicembre 1971, n. 1204, introdotto dal comma 1 del presente articolo.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Il Ministro del lavoro e della previdenza sociale, di concerto con i Ministri della sanità e per la solidarietà sociale, provvede, entro sei mesi dalla data di entrata in vigore della presente legge, ad aggiornare l'elenco dei lavori pericolosi, faticosi ed insalubri di cui all'articolo 5 del decreto del Presidente della Repubblica 25 novembre 1976, n. 1026.</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13.</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(Astensione dal lavoro del padre lavoratore).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Dopo l'articolo 6 della legge 9 dicembre 1977, n. 903, sono inseriti i seguenti:</w:t>
      </w:r>
      <w:r w:rsidRPr="002867D2">
        <w:rPr>
          <w:rFonts w:ascii="Times New Roman" w:eastAsia="Times New Roman" w:hAnsi="Times New Roman" w:cs="Times New Roman"/>
          <w:sz w:val="24"/>
          <w:szCs w:val="24"/>
          <w:lang w:eastAsia="it-IT"/>
        </w:rPr>
        <w:br/>
        <w:t>"Art. 6-</w:t>
      </w:r>
      <w:r w:rsidRPr="002867D2">
        <w:rPr>
          <w:rFonts w:ascii="Times New Roman" w:eastAsia="Times New Roman" w:hAnsi="Times New Roman" w:cs="Times New Roman"/>
          <w:i/>
          <w:iCs/>
          <w:sz w:val="24"/>
          <w:szCs w:val="24"/>
          <w:lang w:eastAsia="it-IT"/>
        </w:rPr>
        <w:t>bis. – 1.</w:t>
      </w:r>
      <w:r w:rsidRPr="002867D2">
        <w:rPr>
          <w:rFonts w:ascii="Times New Roman" w:eastAsia="Times New Roman" w:hAnsi="Times New Roman" w:cs="Times New Roman"/>
          <w:sz w:val="24"/>
          <w:szCs w:val="24"/>
          <w:lang w:eastAsia="it-IT"/>
        </w:rPr>
        <w:t xml:space="preserve"> Il padre lavoratore ha diritto di astenersi dal lavoro nei primi tre mesi dalla nascita del figlio, in caso di morte o di grave infermità della madre ovvero di abbandono, nonché in caso di affidamento esclusivo del bambino al padre.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2.</w:t>
      </w:r>
      <w:r w:rsidRPr="002867D2">
        <w:rPr>
          <w:rFonts w:ascii="Times New Roman" w:eastAsia="Times New Roman" w:hAnsi="Times New Roman" w:cs="Times New Roman"/>
          <w:sz w:val="24"/>
          <w:szCs w:val="24"/>
          <w:lang w:eastAsia="it-IT"/>
        </w:rPr>
        <w:t xml:space="preserve"> Il padre lavoratore che intenda avvalersi del diritto di cui al comma 1 presenta al datore di lavoro la certificazione relativa alle condizioni ivi previste. In caso di abbandono, il padre lavoratore ne rende dichiarazione ai sensi dell'articolo 4 della legge 4 gennaio 1968, n. 15.</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3.</w:t>
      </w:r>
      <w:r w:rsidRPr="002867D2">
        <w:rPr>
          <w:rFonts w:ascii="Times New Roman" w:eastAsia="Times New Roman" w:hAnsi="Times New Roman" w:cs="Times New Roman"/>
          <w:sz w:val="24"/>
          <w:szCs w:val="24"/>
          <w:lang w:eastAsia="it-IT"/>
        </w:rPr>
        <w:t xml:space="preserve"> Si applicano al padre lavoratore le disposizioni di cui agli articoli 6 e 15, commi 1 e 5, della legge 30 dicembre 1971, n. 1204, e successive modificazioni.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4. </w:t>
      </w:r>
      <w:r w:rsidRPr="002867D2">
        <w:rPr>
          <w:rFonts w:ascii="Times New Roman" w:eastAsia="Times New Roman" w:hAnsi="Times New Roman" w:cs="Times New Roman"/>
          <w:sz w:val="24"/>
          <w:szCs w:val="24"/>
          <w:lang w:eastAsia="it-IT"/>
        </w:rPr>
        <w:t>Al padre lavoratore si applicano altresí le disposizioni di cui all'articolo 2 della legge 30 dicembre 1971, n. 1204, e successive modificazioni, per il periodo di astensione dal lavoro di cui al comma 1 del presente articolo e fino al compimento di un anno di età del bambino.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6-</w:t>
      </w:r>
      <w:r w:rsidRPr="002867D2">
        <w:rPr>
          <w:rFonts w:ascii="Times New Roman" w:eastAsia="Times New Roman" w:hAnsi="Times New Roman" w:cs="Times New Roman"/>
          <w:i/>
          <w:iCs/>
          <w:sz w:val="24"/>
          <w:szCs w:val="24"/>
          <w:lang w:eastAsia="it-IT"/>
        </w:rPr>
        <w:t>ter. – 1.</w:t>
      </w:r>
      <w:r w:rsidRPr="002867D2">
        <w:rPr>
          <w:rFonts w:ascii="Times New Roman" w:eastAsia="Times New Roman" w:hAnsi="Times New Roman" w:cs="Times New Roman"/>
          <w:sz w:val="24"/>
          <w:szCs w:val="24"/>
          <w:lang w:eastAsia="it-IT"/>
        </w:rPr>
        <w:t xml:space="preserve"> I periodi di riposo di cui all'articolo 10 della legge 30 dicembre 1971, n. 1204, e successive modificazioni, e i relativi trattamenti economici sono riconosciuti al padre lavoratore: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a) </w:t>
      </w:r>
      <w:r w:rsidRPr="002867D2">
        <w:rPr>
          <w:rFonts w:ascii="Times New Roman" w:eastAsia="Times New Roman" w:hAnsi="Times New Roman" w:cs="Times New Roman"/>
          <w:sz w:val="24"/>
          <w:szCs w:val="24"/>
          <w:lang w:eastAsia="it-IT"/>
        </w:rPr>
        <w:t>nel caso in cui i figli siano affidati al solo padre;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in alternativa alla madre lavoratrice dipendente che non se ne avvalga;</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c) </w:t>
      </w:r>
      <w:r w:rsidRPr="002867D2">
        <w:rPr>
          <w:rFonts w:ascii="Times New Roman" w:eastAsia="Times New Roman" w:hAnsi="Times New Roman" w:cs="Times New Roman"/>
          <w:sz w:val="24"/>
          <w:szCs w:val="24"/>
          <w:lang w:eastAsia="it-IT"/>
        </w:rPr>
        <w:t>nel caso in cui la madre non sia lavoratrice dipendente".</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14.</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(Estensione di norme a specifiche categorie di lavoratrici madri).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lastRenderedPageBreak/>
        <w:t>1. I benefici previsti dal primo periodo del comma 1 dell'articolo 13 della legge 7 agosto 1990, n. 232, sono estesi, dalla data di entrata in vigore della presente legge, anche alle lavoratrici madri appartenenti ai corpi di polizia municipale.</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15.</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(Testo unico).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Al fine di conferire organicità e sistematicità alle norme in materia di tutela e sostegno della maternità e della paternità, entro dodici mesi dalla data di entrata in vigore della presente legge, il Governo è delegato ad emanare un decreto legislativo recante il testo unico delle disposizioni legislative vigenti in materia, nel rispetto dei seguenti princípi e criteri direttivi: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a)</w:t>
      </w:r>
      <w:r w:rsidRPr="002867D2">
        <w:rPr>
          <w:rFonts w:ascii="Times New Roman" w:eastAsia="Times New Roman" w:hAnsi="Times New Roman" w:cs="Times New Roman"/>
          <w:sz w:val="24"/>
          <w:szCs w:val="24"/>
          <w:lang w:eastAsia="it-IT"/>
        </w:rPr>
        <w:t xml:space="preserve"> puntuale individuazione del testo vigente delle norme;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b)</w:t>
      </w:r>
      <w:r w:rsidRPr="002867D2">
        <w:rPr>
          <w:rFonts w:ascii="Times New Roman" w:eastAsia="Times New Roman" w:hAnsi="Times New Roman" w:cs="Times New Roman"/>
          <w:sz w:val="24"/>
          <w:szCs w:val="24"/>
          <w:lang w:eastAsia="it-IT"/>
        </w:rPr>
        <w:t xml:space="preserve"> esplicita indicazione delle norme abrogate, anche implicitamente, da successive disposizioni;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c)</w:t>
      </w:r>
      <w:r w:rsidRPr="002867D2">
        <w:rPr>
          <w:rFonts w:ascii="Times New Roman" w:eastAsia="Times New Roman" w:hAnsi="Times New Roman" w:cs="Times New Roman"/>
          <w:sz w:val="24"/>
          <w:szCs w:val="24"/>
          <w:lang w:eastAsia="it-IT"/>
        </w:rPr>
        <w:t xml:space="preserve"> coordinamento formale del testo delle disposizioni vigenti, apportando, nei limiti di detto coordinamento, le modifiche necessarie per garantire la coerenza logica e sistematica della normativa, anche al fine di adeguare e semplificare il linguaggio normativo;</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d)</w:t>
      </w:r>
      <w:r w:rsidRPr="002867D2">
        <w:rPr>
          <w:rFonts w:ascii="Times New Roman" w:eastAsia="Times New Roman" w:hAnsi="Times New Roman" w:cs="Times New Roman"/>
          <w:sz w:val="24"/>
          <w:szCs w:val="24"/>
          <w:lang w:eastAsia="it-IT"/>
        </w:rPr>
        <w:t xml:space="preserve"> esplicita indicazione delle disposizioni, non inserite nel testo unico, che restano comunque in vigore;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e)</w:t>
      </w:r>
      <w:r w:rsidRPr="002867D2">
        <w:rPr>
          <w:rFonts w:ascii="Times New Roman" w:eastAsia="Times New Roman" w:hAnsi="Times New Roman" w:cs="Times New Roman"/>
          <w:sz w:val="24"/>
          <w:szCs w:val="24"/>
          <w:lang w:eastAsia="it-IT"/>
        </w:rPr>
        <w:t xml:space="preserve"> esplicita abrogazione di tutte le rimanenti disposizioni, non richiamate, con espressa indicazione delle stesse in apposito allegato al testo unico;</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f)</w:t>
      </w:r>
      <w:r w:rsidRPr="002867D2">
        <w:rPr>
          <w:rFonts w:ascii="Times New Roman" w:eastAsia="Times New Roman" w:hAnsi="Times New Roman" w:cs="Times New Roman"/>
          <w:sz w:val="24"/>
          <w:szCs w:val="24"/>
          <w:lang w:eastAsia="it-IT"/>
        </w:rPr>
        <w:t xml:space="preserve"> esplicita abrogazione delle norme secondarie incompatibili con le disposizioni legislative raccolte nel testo unico.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Lo schema del decreto legislativo di cui al comma 1 è deliberato dal Consiglio dei ministri ed è trasmesso, con apposita relazione cui è allegato il parere del Consiglio di Stato, alle competenti Commissioni parlamentari permanenti, che esprimono il parere entro quarantacinque giorni dall'assegnazione.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Entro un anno dalla data di entrata in vigore del decreto legislativo di cui al comma 1 possono essere emanate, nel rispetto dei princípi e criteri direttivi di cui al medesimo comma 1 e con le modalità di cui al comma 2, disposizioni correttive del testo unico.</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16.</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(Statistiche ufficiali sui tempi di vita).</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L'Istituto nazionale di statistica (ISTAT) assicura un flusso informativo quinquennale sull'organizzazione dei tempi di vita della popolazione attraverso la rilevazione sull'uso del tempo, disaggregando le informazioni per sesso e per età.</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17.</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(Disposizioni diverse).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Nei casi di astensione dal lavoro disciplinati dalla presente legge, la lavoratrice e il lavoratore hanno diritto alla conservazione del posto di lavoro e, salvo che espressamente vi rinuncino, al rientro nella stessa unità produttiva ove erano occupati al momento della richiesta di astensione o di congedo o in altra ubicata nel medesimo comune; hanno altresí diritto di essere adibiti alle mansioni da ultimo svolte o a mansioni equivalenti.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All'articolo 2 della legge 30 dicembre 1971, n. 1204, è aggiunto, in fine, il seguente comma:</w:t>
      </w:r>
      <w:r w:rsidRPr="002867D2">
        <w:rPr>
          <w:rFonts w:ascii="Times New Roman" w:eastAsia="Times New Roman" w:hAnsi="Times New Roman" w:cs="Times New Roman"/>
          <w:sz w:val="24"/>
          <w:szCs w:val="24"/>
          <w:lang w:eastAsia="it-IT"/>
        </w:rPr>
        <w:br/>
        <w:t xml:space="preserve">"Al termine del periodo di interdizione dal lavoro previsto dall'articolo 4 della presente legge le lavoratrici hanno diritto, salvo che espressamente vi rinuncino, di rientrare nella stessa unità </w:t>
      </w:r>
      <w:r w:rsidRPr="002867D2">
        <w:rPr>
          <w:rFonts w:ascii="Times New Roman" w:eastAsia="Times New Roman" w:hAnsi="Times New Roman" w:cs="Times New Roman"/>
          <w:sz w:val="24"/>
          <w:szCs w:val="24"/>
          <w:lang w:eastAsia="it-IT"/>
        </w:rPr>
        <w:lastRenderedPageBreak/>
        <w:t>produttiva ove erano occupate all'inizio del periodo di gestazione o in altra ubicata nel medesimo comune, e di permanervi fino al compimento di un anno di età del bambino; hanno altresí diritto di essere adibite alle mansioni da ultimo svolte o a mansioni equivalenti".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I contratti collettivi di lavoro possono prevedere condizioni di maggior favore rispetto a quelle previste dalla presente legge.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4. Sono abrogate le disposizioni legislative incompatibili con la presente legge ed in particolare l'articolo 7 della legge 9 dicembre 1977, n. 903.</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18.</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(Disposizioni in materia di recesso).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Il licenziamento causato dalla domanda o dalla fruizione del congedo di cui agli articoli 3, 4, 5, 6 e 13 della presente legge è nullo.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La richiesta di dimissioni presentata dalla lavoratrice o dal lavoratore durante il primo anno di vita del bambino o nel primo anno di accoglienza del minore adottato o in affidamento deve essere convalidata dal Servizio ispezione della direzione provinciale del lavoro.</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Capo V</w:t>
      </w:r>
      <w:r w:rsidRPr="002867D2">
        <w:rPr>
          <w:rFonts w:ascii="Times New Roman" w:eastAsia="Times New Roman" w:hAnsi="Times New Roman" w:cs="Times New Roman"/>
          <w:sz w:val="24"/>
          <w:szCs w:val="24"/>
          <w:lang w:eastAsia="it-IT"/>
        </w:rPr>
        <w:br/>
        <w:t>MODIFICHE ALLA LEGGE 5 FEBBRAIO 1992, N. 104</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19.</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(Permessi per l'assistenza a portatori di handicap).</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All'articolo 33 della legge 5 febbraio 1992, n. 104, sono apportate le seguenti modificazioni: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a)</w:t>
      </w:r>
      <w:r w:rsidRPr="002867D2">
        <w:rPr>
          <w:rFonts w:ascii="Times New Roman" w:eastAsia="Times New Roman" w:hAnsi="Times New Roman" w:cs="Times New Roman"/>
          <w:sz w:val="24"/>
          <w:szCs w:val="24"/>
          <w:lang w:eastAsia="it-IT"/>
        </w:rPr>
        <w:t xml:space="preserve"> al comma 3, dopo le parole: "permesso mensile" sono inserite le seguenti: "coperti da contribuzione figurativa";</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al comma 5, le parole: ", con lui convivente," sono soppresse;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c)</w:t>
      </w:r>
      <w:r w:rsidRPr="002867D2">
        <w:rPr>
          <w:rFonts w:ascii="Times New Roman" w:eastAsia="Times New Roman" w:hAnsi="Times New Roman" w:cs="Times New Roman"/>
          <w:sz w:val="24"/>
          <w:szCs w:val="24"/>
          <w:lang w:eastAsia="it-IT"/>
        </w:rPr>
        <w:t xml:space="preserve"> al comma 6, dopo le parole: "può usufruire" è inserita la seguente: "alternativamente".</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20.</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(Estensione delle agevolazioni per l'assistenza a portatori di handicap).</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 xml:space="preserve">1. Le disposizioni dell'articolo 33 della legge 5 febbraio 1992, n. 104, come modificato dall'articolo 19 della presente legge, si applicano anche qualora l'altro genitore non ne abbia diritto nonché ai genitori ed ai familiari lavoratori, con rapporto di lavoro pubblico o privato, che assistono con continuità e in via esclusiva un parente o un affine entro il terzo grado portatore di </w:t>
      </w:r>
      <w:r w:rsidRPr="002867D2">
        <w:rPr>
          <w:rFonts w:ascii="Times New Roman" w:eastAsia="Times New Roman" w:hAnsi="Times New Roman" w:cs="Times New Roman"/>
          <w:i/>
          <w:iCs/>
          <w:sz w:val="24"/>
          <w:szCs w:val="24"/>
          <w:lang w:eastAsia="it-IT"/>
        </w:rPr>
        <w:t xml:space="preserve">handicap, </w:t>
      </w:r>
      <w:r w:rsidRPr="002867D2">
        <w:rPr>
          <w:rFonts w:ascii="Times New Roman" w:eastAsia="Times New Roman" w:hAnsi="Times New Roman" w:cs="Times New Roman"/>
          <w:sz w:val="24"/>
          <w:szCs w:val="24"/>
          <w:lang w:eastAsia="it-IT"/>
        </w:rPr>
        <w:t>ancorché non convivente.</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Capo VI</w:t>
      </w:r>
      <w:r w:rsidRPr="002867D2">
        <w:rPr>
          <w:rFonts w:ascii="Times New Roman" w:eastAsia="Times New Roman" w:hAnsi="Times New Roman" w:cs="Times New Roman"/>
          <w:sz w:val="24"/>
          <w:szCs w:val="24"/>
          <w:lang w:eastAsia="it-IT"/>
        </w:rPr>
        <w:br/>
        <w:t>NORME FINANZIARIE</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21.</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(Copertura finanziaria).</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 xml:space="preserve">1. All'onere derivante dall'attuazione delle disposizioni degli articoli da 3 a 20, esclusi gli articoli 6 e 9, della presente legge, valutato in lire 298 miliardi annue a decorrere dall'anno 2000, si provvede, quanto a lire 273 miliardi annue a decorrere dall'anno 2000, mediante corrispondente riduzione dell'autorizzazione di spesa di cui all'articolo 3 del decreto-legge 20 gennaio 1998, n. 4, convertito, </w:t>
      </w:r>
      <w:r w:rsidRPr="002867D2">
        <w:rPr>
          <w:rFonts w:ascii="Times New Roman" w:eastAsia="Times New Roman" w:hAnsi="Times New Roman" w:cs="Times New Roman"/>
          <w:sz w:val="24"/>
          <w:szCs w:val="24"/>
          <w:lang w:eastAsia="it-IT"/>
        </w:rPr>
        <w:lastRenderedPageBreak/>
        <w:t>con modificazioni, dalla legge 20 marzo 1998, n. 52, concernente il Fondo per l'occupazione; quanto a lire 25 miliardi annue a decorrere dall'anno 2000, mediante corrispondente riduzione dell'autorizzazione di spesa di cui all'articolo 1 della legge 28 agosto 1997, n. 285.</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Il Ministro del tesoro, del bilancio e della programmazione economica è autorizzato ad apportare, con propri decreti, le occorrenti variazioni di bilancio.</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Capo VII</w:t>
      </w:r>
      <w:r w:rsidRPr="002867D2">
        <w:rPr>
          <w:rFonts w:ascii="Times New Roman" w:eastAsia="Times New Roman" w:hAnsi="Times New Roman" w:cs="Times New Roman"/>
          <w:sz w:val="24"/>
          <w:szCs w:val="24"/>
          <w:lang w:eastAsia="it-IT"/>
        </w:rPr>
        <w:br/>
        <w:t>TEMPI DELLE CITTÀ</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22.</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(Compiti delle regioni).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Entro sei mesi dalla data di entrata in vigore della presente legge le regioni definiscono, con proprie leggi, ai sensi dell'articolo 36, comma 3, della legge 8 giugno 1990, n. 142, e successive modificazioni, qualora non vi abbiano già provveduto, norme per il coordinamento da parte dei comuni degli orari degli esercizi commerciali, dei servizi pubblici e degli uffici periferici delle amministrazioni pubbliche, nonché per la promozione dell'uso del tempo per fini di solidarietà sociale, secondo i principi del presente capo.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Le regioni prevedono incentivi finanziari per i comuni, anche attraverso l'utilizzo delle risorse del Fondo di cui all'articolo 28, ai fini della predisposizione e dell'attuazione dei piani territoriali degli orari di cui all'articolo 24 e della costituzione delle banche dei tempi di cui all'articolo 27.</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Le regioni possono istituire comitati tecnici, composti da esperti in materia di progettazione urbana, di analisi sociale, di comunicazione sociale e di gestione organizzativa, con compiti consultivi in ordine al coordinamento degli orari delle città e per la valutazione degli effetti sulle comunità locali dei piani territoriali degli orari.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4. Nell'ambito delle proprie competenze in materia di formazione professionale, le regioni promuovono corsi di qualificazione e riqualificazione del personale impiegato nella progettazione dei piani territoriali degli orari e nei progetti di riorganizzazione dei servizi.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5. Le leggi regionali di cui al comma 1 indicano:</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a) </w:t>
      </w:r>
      <w:r w:rsidRPr="002867D2">
        <w:rPr>
          <w:rFonts w:ascii="Times New Roman" w:eastAsia="Times New Roman" w:hAnsi="Times New Roman" w:cs="Times New Roman"/>
          <w:sz w:val="24"/>
          <w:szCs w:val="24"/>
          <w:lang w:eastAsia="it-IT"/>
        </w:rPr>
        <w:t>criteri generali di amministrazione e coordinamento degli orari di apertura al pubblico dei servizi pubblici e privati, degli uffici della pubblica amministrazione, dei pubblici esercizi commerciali e turistici, delle attività culturali e dello spettacolo, dei trasporti;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i criteri per l'adozione dei piani territoriali degli orari;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c) </w:t>
      </w:r>
      <w:r w:rsidRPr="002867D2">
        <w:rPr>
          <w:rFonts w:ascii="Times New Roman" w:eastAsia="Times New Roman" w:hAnsi="Times New Roman" w:cs="Times New Roman"/>
          <w:sz w:val="24"/>
          <w:szCs w:val="24"/>
          <w:lang w:eastAsia="it-IT"/>
        </w:rPr>
        <w:t>criteri e modalità per la concessione ai comuni di finanziamenti per l'adozione dei piani territoriali degli orari e per la costituzione di banche dei tempi, con priorità per le iniziative congiunte dei comuni con popolazione non superiore a 30.000 abitanti.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6. Le regioni a statuto speciale e le province autonome di Trento e di Bolzano provvedono secondo le rispettive competenze.</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23.</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(Compiti dei comuni).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 xml:space="preserve">1. I comuni con popolazione superiore a 30.000 abitanti attuano, singolarmente o in forma associata, le disposizioni dell'articolo 36, comma 3, della legge 8 giugno 1990, n. 142, e successive modificazioni, secondo le modalità stabilite dal presente capo, nei tempi indicati dalle leggi </w:t>
      </w:r>
      <w:r w:rsidRPr="002867D2">
        <w:rPr>
          <w:rFonts w:ascii="Times New Roman" w:eastAsia="Times New Roman" w:hAnsi="Times New Roman" w:cs="Times New Roman"/>
          <w:sz w:val="24"/>
          <w:szCs w:val="24"/>
          <w:lang w:eastAsia="it-IT"/>
        </w:rPr>
        <w:lastRenderedPageBreak/>
        <w:t>regionali di cui all'articolo 22, comma 1, e comunque non oltre un anno dalla data di entrata in vigore della presente legge.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 xml:space="preserve">2. In caso di inadempimento dell'obbligo di cui al comma 1, il presidente della giunta regionale nomina un commissario </w:t>
      </w:r>
      <w:r w:rsidRPr="002867D2">
        <w:rPr>
          <w:rFonts w:ascii="Times New Roman" w:eastAsia="Times New Roman" w:hAnsi="Times New Roman" w:cs="Times New Roman"/>
          <w:i/>
          <w:iCs/>
          <w:sz w:val="24"/>
          <w:szCs w:val="24"/>
          <w:lang w:eastAsia="it-IT"/>
        </w:rPr>
        <w:t>ad acta</w:t>
      </w:r>
      <w:r w:rsidRPr="002867D2">
        <w:rPr>
          <w:rFonts w:ascii="Times New Roman" w:eastAsia="Times New Roman" w:hAnsi="Times New Roman" w:cs="Times New Roman"/>
          <w:sz w:val="24"/>
          <w:szCs w:val="24"/>
          <w:lang w:eastAsia="it-IT"/>
        </w:rPr>
        <w:t>.</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I comuni con popolazione non superiore a 30.000 abitanti possono attuare le disposizioni del presente capo in forma associata.</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24.</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(Piano territoriale degli orari).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 xml:space="preserve">1. Il piano territoriale degli orari, di seguito denominato "piano", realizza le finalità di cui all'articolo 1, comma 1, lettera </w:t>
      </w:r>
      <w:r w:rsidRPr="002867D2">
        <w:rPr>
          <w:rFonts w:ascii="Times New Roman" w:eastAsia="Times New Roman" w:hAnsi="Times New Roman" w:cs="Times New Roman"/>
          <w:i/>
          <w:iCs/>
          <w:sz w:val="24"/>
          <w:szCs w:val="24"/>
          <w:lang w:eastAsia="it-IT"/>
        </w:rPr>
        <w:t xml:space="preserve">c), </w:t>
      </w:r>
      <w:r w:rsidRPr="002867D2">
        <w:rPr>
          <w:rFonts w:ascii="Times New Roman" w:eastAsia="Times New Roman" w:hAnsi="Times New Roman" w:cs="Times New Roman"/>
          <w:sz w:val="24"/>
          <w:szCs w:val="24"/>
          <w:lang w:eastAsia="it-IT"/>
        </w:rPr>
        <w:t>ed è strumento unitario per finalità ed indirizzi, articolato in progetti, anche sperimentali, relativi al funzionamento dei diversi sistemi orari dei servizi urbani e alla loro graduale armonizzazione e coordinamento.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I comuni con popolazione superiore a 30.000 abitanti sono tenuti ad individuare un responsabile cui è assegnata la competenza in materia di tempi ed orari e che partecipa alla conferenza dei dirigenti, ai sensi della legge 8 giugno 1990, n. 142, e successive modificazioni.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I comuni con popolazione non superiore a 30.000 abitanti possono istituire l'ufficio di cui al comma 2 in forma associata.</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4. Il sindaco elabora le linee guida del piano. A tale fine attua forme di consultazione con le amministrazioni pubbliche, le parti sociali, nonché le associazioni previste dall'articolo 6 della legge 8 giugno 1990, n. 142, e successive modificazioni, e le associazioni delle famiglie.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5. Nell'elaborazione del piano si tiene conto degli effetti sul traffico, sull'inquinamento e sulla qualità della vita cittadina degli orari di lavoro pubblici e privati, degli orari di apertura al pubblico dei servizi pubblici e privati, degli uffici periferici delle amministrazioni pubbliche, delle attività commerciali, ferme restando le disposizioni degli articoli da 11 a 13 del decreto legislativo 31 marzo 1998, n. 114, nonché delle istituzioni formative, culturali e del tempo libero.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6. Il piano è approvato dal consiglio comunale su proposta del sindaco ed è vincolante per l'amministrazione comunale, che deve adeguare l'azione dei singoli assessorati alle scelte in esso contenute. Il piano è attuato con ordinanze del sindaco.</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25.</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(Tavolo di concertazione).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Per l'attuazione e la verifica dei progetti contenuti nel piano di cui all'articolo 24, il sindaco istituisce un tavolo di concertazione, cui partecipano:</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a) </w:t>
      </w:r>
      <w:r w:rsidRPr="002867D2">
        <w:rPr>
          <w:rFonts w:ascii="Times New Roman" w:eastAsia="Times New Roman" w:hAnsi="Times New Roman" w:cs="Times New Roman"/>
          <w:sz w:val="24"/>
          <w:szCs w:val="24"/>
          <w:lang w:eastAsia="it-IT"/>
        </w:rPr>
        <w:t>il sindaco stesso o, per suo incarico, il responsabile di cui all'articolo 24, comma 2;</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b) </w:t>
      </w:r>
      <w:r w:rsidRPr="002867D2">
        <w:rPr>
          <w:rFonts w:ascii="Times New Roman" w:eastAsia="Times New Roman" w:hAnsi="Times New Roman" w:cs="Times New Roman"/>
          <w:sz w:val="24"/>
          <w:szCs w:val="24"/>
          <w:lang w:eastAsia="it-IT"/>
        </w:rPr>
        <w:t>il prefetto o un suo rappresentante;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c) </w:t>
      </w:r>
      <w:r w:rsidRPr="002867D2">
        <w:rPr>
          <w:rFonts w:ascii="Times New Roman" w:eastAsia="Times New Roman" w:hAnsi="Times New Roman" w:cs="Times New Roman"/>
          <w:sz w:val="24"/>
          <w:szCs w:val="24"/>
          <w:lang w:eastAsia="it-IT"/>
        </w:rPr>
        <w:t>il presidente della provincia o un suo rappresentante;</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d) </w:t>
      </w:r>
      <w:r w:rsidRPr="002867D2">
        <w:rPr>
          <w:rFonts w:ascii="Times New Roman" w:eastAsia="Times New Roman" w:hAnsi="Times New Roman" w:cs="Times New Roman"/>
          <w:sz w:val="24"/>
          <w:szCs w:val="24"/>
          <w:lang w:eastAsia="it-IT"/>
        </w:rPr>
        <w:t>i presidenti delle comunità montane o loro rappresentanti;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e) </w:t>
      </w:r>
      <w:r w:rsidRPr="002867D2">
        <w:rPr>
          <w:rFonts w:ascii="Times New Roman" w:eastAsia="Times New Roman" w:hAnsi="Times New Roman" w:cs="Times New Roman"/>
          <w:sz w:val="24"/>
          <w:szCs w:val="24"/>
          <w:lang w:eastAsia="it-IT"/>
        </w:rPr>
        <w:t>un dirigente per ciascuna delle pubbliche amministrazioni non statali coinvolte nel piano;</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f) </w:t>
      </w:r>
      <w:r w:rsidRPr="002867D2">
        <w:rPr>
          <w:rFonts w:ascii="Times New Roman" w:eastAsia="Times New Roman" w:hAnsi="Times New Roman" w:cs="Times New Roman"/>
          <w:sz w:val="24"/>
          <w:szCs w:val="24"/>
          <w:lang w:eastAsia="it-IT"/>
        </w:rPr>
        <w:t>rappresentanti sindacali degli imprenditori della grande, media e piccola impresa, del commercio, dei servizi, dell'artigianato e dell'agricoltura;</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g) </w:t>
      </w:r>
      <w:r w:rsidRPr="002867D2">
        <w:rPr>
          <w:rFonts w:ascii="Times New Roman" w:eastAsia="Times New Roman" w:hAnsi="Times New Roman" w:cs="Times New Roman"/>
          <w:sz w:val="24"/>
          <w:szCs w:val="24"/>
          <w:lang w:eastAsia="it-IT"/>
        </w:rPr>
        <w:t>rappresentanti sindacali dei lavoratori;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lastRenderedPageBreak/>
        <w:t xml:space="preserve">h) </w:t>
      </w:r>
      <w:r w:rsidRPr="002867D2">
        <w:rPr>
          <w:rFonts w:ascii="Times New Roman" w:eastAsia="Times New Roman" w:hAnsi="Times New Roman" w:cs="Times New Roman"/>
          <w:sz w:val="24"/>
          <w:szCs w:val="24"/>
          <w:lang w:eastAsia="it-IT"/>
        </w:rPr>
        <w:t xml:space="preserve">il provveditore agli studi ed i rappresentanti delle università presenti nel territorio; </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 xml:space="preserve">i) </w:t>
      </w:r>
      <w:r w:rsidRPr="002867D2">
        <w:rPr>
          <w:rFonts w:ascii="Times New Roman" w:eastAsia="Times New Roman" w:hAnsi="Times New Roman" w:cs="Times New Roman"/>
          <w:sz w:val="24"/>
          <w:szCs w:val="24"/>
          <w:lang w:eastAsia="it-IT"/>
        </w:rPr>
        <w:t>i presidenti delle aziende dei trasporti urbani ed extraurbani, nonché i rappresentanti delle aziende ferroviarie.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Per l'attuazione del piano di cui all'articolo 24, il sindaco promuove accordi con i soggetti pubblici e privati di cui al comma 1.</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In caso di emergenze o di straordinarie necessità dell'utenza o di gravi problemi connessi al traffico e all'inquinamento, il sindaco può emettere ordinanze che prevedano modificazioni degli orari.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4. Le amministrazioni pubbliche, anche territoriali, sono tenute ad adeguare gli orari di funzionamento degli uffici alle ordinanze di cui al comma 3.</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5. I comuni capoluogo di provincia sono tenuti a concertare con i comuni limitrofi, attraverso la conferenza dei sindaci, la riorganizzazione territoriale degli orari. Alla conferenza partecipa un rappresentante del presidente della provincia.</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26.</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(Orari della pubblica amministrazione).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Le articolazioni e le scansioni degli orari di apertura al pubblico dei servizi della pubblica amministrazione devono tenere conto delle esigenze dei cittadini che risiedono, lavorano ed utilizzano il territorio di riferimento.</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Il piano di cui all'articolo 24, ai sensi del decreto legislativo 3 febbraio 1993, n. 29, e successive modificazioni, può prevedere modalità ed articolazioni differenziate degli orari di apertura al pubblico dei servizi della pubblica amministrazione.</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Le pubbliche amministrazioni, attraverso l'informatizzazione dei relativi servizi, possono garantire prestazioni di informazione anche durante gli orari di chiusura dei servizi medesimi e, attraverso la semplificazione delle procedure, possono consentire agli utenti tempi di attesa più brevi e percorsi più semplici per l'accesso ai servizi.</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Art. 27.</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(Banche dei tempi).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Per favorire lo scambio di servizi di vicinato, per facilitare l'utilizzo dei servizi della città e il rapporto con le pubbliche amministrazioni, per favorire l'estensione della solidarietà nelle comunità locali e per incentivare le iniziative di singoli e gruppi di cittadini, associazioni, organizzazioni ed enti che intendano scambiare parte del proprio tempo per impieghi di reciproca solidarietà e interesse, gli enti locali possono sostenere e promuovere la costituzione di associazioni denominate "banche dei tempi".</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Gli enti locali, per favorire e sostenere le banche dei tempi, possono disporre a loro favore l'utilizzo di locali e di servizi e organizzare attività di promozione, formazione e informazione. Possono altresí aderire alle banche dei tempi e stipulare con esse accordi che prevedano scambi di tempo da destinare a prestazioni di mutuo aiuto a favore di singoli cittadini o della comunità locale. Tali prestazioni devono essere compatibili con gli scopi statutari delle banche dei tempi e non devono costituire modalità di esercizio delle attività istituzionali degli enti locali.</w:t>
      </w:r>
    </w:p>
    <w:p w:rsidR="002867D2" w:rsidRPr="002867D2" w:rsidRDefault="002867D2" w:rsidP="002867D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lastRenderedPageBreak/>
        <w:t>Art. 28.</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(Fondo per l'armonizzazione dei tempi delle città).</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1. Nell'elaborare le linee guida del piano di cui all'articolo 24, il sindaco prevede misure per l'armonizzazione degli orari che contribuiscano, in linea con le politiche e le misure nazionali, alla riduzione delle emissioni di gas inquinanti nel settore dei trasporti. Dopo l'approvazione da parte del consiglio comunale, i piani sono comunicati alle regioni, che li trasmettono al Comitato interministeriale per la programmazione economica (CIPE) indicandone, ai soli fini del presente articolo, l'ordine di priorità.</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2. Per le finalità del presente articolo è istituito un Fondo per l'armonizzazione dei tempi delle città, nel limite massimo di lire 15 miliardi annue a decorrere dall'anno 2001. Alla ripartizione delle predette risorse provvede il CIPE, sentita la Conferenza unificata di cui all'articolo 8 del decreto legislativo 28 agosto 1997, n. 281.</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3. Le regioni iscrivono le somme loro attribuite in un apposito capitolo di bilancio, nel quale confluiscono altresí eventuali risorse proprie, da utilizzare per spese destinate ad agevolare l'attuazione dei progetti inclusi nel piano di cui all'articolo 24 e degli interventi di cui all'articolo 27.</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4. I contributi di cui al comma 3 sono concessi prioritariamente per:</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a)</w:t>
      </w:r>
      <w:r w:rsidRPr="002867D2">
        <w:rPr>
          <w:rFonts w:ascii="Times New Roman" w:eastAsia="Times New Roman" w:hAnsi="Times New Roman" w:cs="Times New Roman"/>
          <w:sz w:val="24"/>
          <w:szCs w:val="24"/>
          <w:lang w:eastAsia="it-IT"/>
        </w:rPr>
        <w:t xml:space="preserve"> associazioni di comuni;</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b)</w:t>
      </w:r>
      <w:r w:rsidRPr="002867D2">
        <w:rPr>
          <w:rFonts w:ascii="Times New Roman" w:eastAsia="Times New Roman" w:hAnsi="Times New Roman" w:cs="Times New Roman"/>
          <w:sz w:val="24"/>
          <w:szCs w:val="24"/>
          <w:lang w:eastAsia="it-IT"/>
        </w:rPr>
        <w:t xml:space="preserve"> progetti presentati da comuni che abbiano attivato forme di coordinamento e cooperazione con altri enti locali per l'attuazione di specifici piani di armonizzazione degli orari dei servizi con vasti bacini di utenza;</w:t>
      </w:r>
      <w:r w:rsidRPr="002867D2">
        <w:rPr>
          <w:rFonts w:ascii="Times New Roman" w:eastAsia="Times New Roman" w:hAnsi="Times New Roman" w:cs="Times New Roman"/>
          <w:sz w:val="24"/>
          <w:szCs w:val="24"/>
          <w:lang w:eastAsia="it-IT"/>
        </w:rPr>
        <w:br/>
      </w:r>
      <w:r w:rsidRPr="002867D2">
        <w:rPr>
          <w:rFonts w:ascii="Times New Roman" w:eastAsia="Times New Roman" w:hAnsi="Times New Roman" w:cs="Times New Roman"/>
          <w:i/>
          <w:iCs/>
          <w:sz w:val="24"/>
          <w:szCs w:val="24"/>
          <w:lang w:eastAsia="it-IT"/>
        </w:rPr>
        <w:t>c)</w:t>
      </w:r>
      <w:r w:rsidRPr="002867D2">
        <w:rPr>
          <w:rFonts w:ascii="Times New Roman" w:eastAsia="Times New Roman" w:hAnsi="Times New Roman" w:cs="Times New Roman"/>
          <w:sz w:val="24"/>
          <w:szCs w:val="24"/>
          <w:lang w:eastAsia="it-IT"/>
        </w:rPr>
        <w:t xml:space="preserve"> interventi attuativi degli accordi di cui all'articolo 25, comma 2.</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5. La Conferenza unificata di cui all'articolo 8 del decreto legislativo 28 agosto 1997, n. 281, è convocata ogni anno, entro il mese di febbraio, per l'esame dei risultati conseguiti attraverso l'impiego delle risorse del Fondo di cui al comma 2 e per la definizione delle linee di intervento futuro. Alle relative riunioni sono invitati i Ministri del lavoro e della previdenza sociale, per la solidarietà sociale, per la funzione pubblica, dei trasporti e della navigazione e dell'ambiente, il presidente della società Ferrovie dello Stato spa, nonché i rappresentanti delle associazioni ambientaliste e del volontariato, delle organizzazioni sindacali e di categoria.</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6. Il Governo, entro il mese di luglio di ogni anno e sulla base dei lavori della Conferenza di cui al comma 5, presenta al Parlamento una relazione sui progetti di riorganizzazione dei tempi e degli orari delle città.</w:t>
      </w:r>
    </w:p>
    <w:p w:rsidR="002867D2" w:rsidRPr="002867D2" w:rsidRDefault="002867D2" w:rsidP="002867D2">
      <w:pPr>
        <w:spacing w:before="100" w:beforeAutospacing="1" w:after="100" w:afterAutospacing="1" w:line="240" w:lineRule="auto"/>
        <w:rPr>
          <w:rFonts w:ascii="Times New Roman" w:eastAsia="Times New Roman" w:hAnsi="Times New Roman" w:cs="Times New Roman"/>
          <w:sz w:val="24"/>
          <w:szCs w:val="24"/>
          <w:lang w:eastAsia="it-IT"/>
        </w:rPr>
      </w:pPr>
      <w:r w:rsidRPr="002867D2">
        <w:rPr>
          <w:rFonts w:ascii="Times New Roman" w:eastAsia="Times New Roman" w:hAnsi="Times New Roman" w:cs="Times New Roman"/>
          <w:sz w:val="24"/>
          <w:szCs w:val="24"/>
          <w:lang w:eastAsia="it-IT"/>
        </w:rPr>
        <w:t xml:space="preserve">7. All'onere derivante dall'istituzione del Fondo di cui al comma 2 si provvede mediante utilizzazione delle risorse di cui all'articolo 8, comma 10, lettera </w:t>
      </w:r>
      <w:r w:rsidRPr="002867D2">
        <w:rPr>
          <w:rFonts w:ascii="Times New Roman" w:eastAsia="Times New Roman" w:hAnsi="Times New Roman" w:cs="Times New Roman"/>
          <w:i/>
          <w:iCs/>
          <w:sz w:val="24"/>
          <w:szCs w:val="24"/>
          <w:lang w:eastAsia="it-IT"/>
        </w:rPr>
        <w:t>f)</w:t>
      </w:r>
      <w:r w:rsidRPr="002867D2">
        <w:rPr>
          <w:rFonts w:ascii="Times New Roman" w:eastAsia="Times New Roman" w:hAnsi="Times New Roman" w:cs="Times New Roman"/>
          <w:sz w:val="24"/>
          <w:szCs w:val="24"/>
          <w:lang w:eastAsia="it-IT"/>
        </w:rPr>
        <w:t>, della legge 23 dicembre 1998, n. 448.</w:t>
      </w:r>
    </w:p>
    <w:p w:rsidR="00661872" w:rsidRDefault="00661872"/>
    <w:sectPr w:rsidR="00661872" w:rsidSect="0066187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2867D2"/>
    <w:rsid w:val="002867D2"/>
    <w:rsid w:val="006618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61872"/>
  </w:style>
  <w:style w:type="paragraph" w:styleId="Titolo3">
    <w:name w:val="heading 3"/>
    <w:basedOn w:val="Normale"/>
    <w:link w:val="Titolo3Carattere"/>
    <w:uiPriority w:val="9"/>
    <w:qFormat/>
    <w:rsid w:val="002867D2"/>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2867D2"/>
    <w:rPr>
      <w:rFonts w:ascii="Times New Roman" w:eastAsia="Times New Roman" w:hAnsi="Times New Roman" w:cs="Times New Roman"/>
      <w:b/>
      <w:bCs/>
      <w:sz w:val="27"/>
      <w:szCs w:val="27"/>
      <w:lang w:eastAsia="it-IT"/>
    </w:rPr>
  </w:style>
  <w:style w:type="paragraph" w:styleId="NormaleWeb">
    <w:name w:val="Normal (Web)"/>
    <w:basedOn w:val="Normale"/>
    <w:uiPriority w:val="99"/>
    <w:unhideWhenUsed/>
    <w:rsid w:val="002867D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2867D2"/>
    <w:rPr>
      <w:i/>
      <w:iCs/>
    </w:rPr>
  </w:style>
  <w:style w:type="paragraph" w:styleId="Testofumetto">
    <w:name w:val="Balloon Text"/>
    <w:basedOn w:val="Normale"/>
    <w:link w:val="TestofumettoCarattere"/>
    <w:uiPriority w:val="99"/>
    <w:semiHidden/>
    <w:unhideWhenUsed/>
    <w:rsid w:val="002867D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67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45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parlamento.it/leggi/hom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parlamento.it/leggi/home.htm"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6066</Words>
  <Characters>34582</Characters>
  <Application>Microsoft Office Word</Application>
  <DocSecurity>0</DocSecurity>
  <Lines>288</Lines>
  <Paragraphs>81</Paragraphs>
  <ScaleCrop>false</ScaleCrop>
  <Company> </Company>
  <LinksUpToDate>false</LinksUpToDate>
  <CharactersWithSpaces>40567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2008-10-08T12:20:00Z</dcterms:created>
  <dcterms:modified xsi:type="dcterms:W3CDTF">2008-10-08T12:20:00Z</dcterms:modified>
</cp:coreProperties>
</file>